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AB" w:rsidRDefault="000C0EAB" w:rsidP="000C0EAB">
      <w:pPr>
        <w:spacing w:line="276" w:lineRule="auto"/>
        <w:jc w:val="center"/>
        <w:rPr>
          <w:rFonts w:asciiTheme="majorHAnsi" w:hAnsiTheme="majorHAnsi" w:cstheme="majorHAnsi"/>
        </w:rPr>
      </w:pPr>
      <w:r w:rsidRPr="00656142">
        <w:rPr>
          <w:rFonts w:asciiTheme="majorHAnsi" w:hAnsiTheme="majorHAnsi" w:cstheme="majorHAnsi"/>
        </w:rPr>
        <w:t>Osnovna škola Marije i Line, Umag – SE Marija i Lina, Umag</w:t>
      </w:r>
    </w:p>
    <w:p w:rsidR="000C0EAB" w:rsidRPr="004F11C7" w:rsidRDefault="000C0EAB" w:rsidP="000C0EAB">
      <w:pPr>
        <w:spacing w:line="276" w:lineRule="auto"/>
        <w:jc w:val="center"/>
        <w:rPr>
          <w:rFonts w:asciiTheme="majorHAnsi" w:hAnsiTheme="majorHAnsi" w:cstheme="majorHAnsi"/>
          <w:b/>
          <w:sz w:val="36"/>
        </w:rPr>
      </w:pPr>
      <w:r w:rsidRPr="004F11C7">
        <w:rPr>
          <w:rFonts w:asciiTheme="majorHAnsi" w:hAnsiTheme="majorHAnsi" w:cstheme="majorHAnsi"/>
          <w:b/>
          <w:sz w:val="36"/>
        </w:rPr>
        <w:t xml:space="preserve">PROTOKOL O POSTUPANJU U SLUČAJU </w:t>
      </w:r>
      <w:r>
        <w:rPr>
          <w:rFonts w:asciiTheme="majorHAnsi" w:hAnsiTheme="majorHAnsi" w:cstheme="majorHAnsi"/>
          <w:b/>
          <w:sz w:val="36"/>
        </w:rPr>
        <w:t>NASILJA MEĐU DJECOM</w:t>
      </w:r>
    </w:p>
    <w:tbl>
      <w:tblPr>
        <w:tblStyle w:val="Reetkatablice"/>
        <w:tblW w:w="10915" w:type="dxa"/>
        <w:tblInd w:w="-572" w:type="dxa"/>
        <w:tblLook w:val="04A0" w:firstRow="1" w:lastRow="0" w:firstColumn="1" w:lastColumn="0" w:noHBand="0" w:noVBand="1"/>
      </w:tblPr>
      <w:tblGrid>
        <w:gridCol w:w="3261"/>
        <w:gridCol w:w="4110"/>
        <w:gridCol w:w="3544"/>
      </w:tblGrid>
      <w:tr w:rsidR="000C0EAB" w:rsidTr="000C0EAB"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C0EAB" w:rsidRPr="009A2823" w:rsidRDefault="000C0EAB" w:rsidP="000C0E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2823">
              <w:rPr>
                <w:rFonts w:asciiTheme="majorHAnsi" w:hAnsiTheme="majorHAnsi" w:cstheme="majorHAnsi"/>
                <w:b/>
                <w:sz w:val="24"/>
                <w:szCs w:val="24"/>
              </w:rPr>
              <w:t>ZADUŽENE OSOBE (ZAMJENICI)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C0EAB" w:rsidRPr="009A2823" w:rsidRDefault="000C0EAB" w:rsidP="000C0E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2823">
              <w:rPr>
                <w:rFonts w:asciiTheme="majorHAnsi" w:hAnsiTheme="majorHAnsi" w:cstheme="majorHAnsi"/>
                <w:b/>
                <w:sz w:val="24"/>
                <w:szCs w:val="24"/>
              </w:rPr>
              <w:t>DJELOKRUG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C0EAB" w:rsidRDefault="000C0EAB" w:rsidP="000C0E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2823">
              <w:rPr>
                <w:rFonts w:asciiTheme="majorHAnsi" w:hAnsiTheme="majorHAnsi" w:cstheme="majorHAnsi"/>
                <w:b/>
                <w:sz w:val="24"/>
                <w:szCs w:val="24"/>
              </w:rPr>
              <w:t>VREMENSKI OKVIR</w:t>
            </w:r>
          </w:p>
          <w:p w:rsidR="000C0EAB" w:rsidRPr="009A2823" w:rsidRDefault="000C0EAB" w:rsidP="000C0E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MJESTO ZAPISA</w:t>
            </w:r>
          </w:p>
        </w:tc>
      </w:tr>
      <w:tr w:rsidR="000C0EAB" w:rsidTr="000C0EAB">
        <w:tc>
          <w:tcPr>
            <w:tcW w:w="3261" w:type="dxa"/>
          </w:tcPr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dežurni učitelj,</w:t>
            </w:r>
          </w:p>
          <w:p w:rsidR="000C0EAB" w:rsidRPr="00210CA8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(djelatnik koji je najbliži mjestu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sukoba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Zaustavljanje sukoba</w:t>
            </w:r>
          </w:p>
        </w:tc>
        <w:tc>
          <w:tcPr>
            <w:tcW w:w="3544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trenutno</w:t>
            </w:r>
          </w:p>
        </w:tc>
      </w:tr>
      <w:tr w:rsidR="000C0EAB" w:rsidTr="000C0EAB">
        <w:tc>
          <w:tcPr>
            <w:tcW w:w="3261" w:type="dxa"/>
          </w:tcPr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razrednik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stručna služba</w:t>
            </w:r>
          </w:p>
          <w:p w:rsidR="000C0EAB" w:rsidRPr="00210CA8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ravnateljica</w:t>
            </w:r>
          </w:p>
        </w:tc>
        <w:tc>
          <w:tcPr>
            <w:tcW w:w="4110" w:type="dxa"/>
          </w:tcPr>
          <w:p w:rsidR="000C0EAB" w:rsidRPr="00210CA8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Razgovor s učenikom koji je počinio nasilje</w:t>
            </w:r>
          </w:p>
        </w:tc>
        <w:tc>
          <w:tcPr>
            <w:tcW w:w="3544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odmah nakon sukoba</w:t>
            </w:r>
          </w:p>
        </w:tc>
      </w:tr>
      <w:tr w:rsidR="000C0EAB" w:rsidTr="000C0EAB">
        <w:tc>
          <w:tcPr>
            <w:tcW w:w="3261" w:type="dxa"/>
          </w:tcPr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razrednik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stručna služba</w:t>
            </w:r>
          </w:p>
          <w:p w:rsidR="000C0EAB" w:rsidRPr="00210CA8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ravnateljica</w:t>
            </w:r>
          </w:p>
        </w:tc>
        <w:tc>
          <w:tcPr>
            <w:tcW w:w="4110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Razgovor s učenikom koji je sudjelovao u sukobu</w:t>
            </w:r>
          </w:p>
        </w:tc>
        <w:tc>
          <w:tcPr>
            <w:tcW w:w="3544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odmah nakon sukoba</w:t>
            </w:r>
          </w:p>
        </w:tc>
      </w:tr>
      <w:tr w:rsidR="000C0EAB" w:rsidTr="000C0EAB">
        <w:tc>
          <w:tcPr>
            <w:tcW w:w="3261" w:type="dxa"/>
          </w:tcPr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razrednik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stručna služba</w:t>
            </w:r>
          </w:p>
          <w:p w:rsidR="000C0EAB" w:rsidRPr="00210CA8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ravnateljica</w:t>
            </w:r>
          </w:p>
        </w:tc>
        <w:tc>
          <w:tcPr>
            <w:tcW w:w="4110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Mjere pomirenja učenika i stvaranja tolerantnog ponašanja</w:t>
            </w:r>
          </w:p>
        </w:tc>
        <w:tc>
          <w:tcPr>
            <w:tcW w:w="3544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nakon obavljenog razgovora</w:t>
            </w:r>
          </w:p>
        </w:tc>
      </w:tr>
      <w:tr w:rsidR="000C0EAB" w:rsidTr="000C0EAB">
        <w:tc>
          <w:tcPr>
            <w:tcW w:w="3261" w:type="dxa"/>
          </w:tcPr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razrednik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stručna služba</w:t>
            </w:r>
          </w:p>
          <w:p w:rsidR="000C0EAB" w:rsidRPr="00210CA8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ravnateljica</w:t>
            </w:r>
          </w:p>
        </w:tc>
        <w:tc>
          <w:tcPr>
            <w:tcW w:w="4110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Obavješćivanje roditelja učenika koji su sudjelovali u sukobu i upoznavanje s okolnostima i aktivnostima koje škola poduzima (telefonskim putem</w:t>
            </w:r>
          </w:p>
        </w:tc>
        <w:tc>
          <w:tcPr>
            <w:tcW w:w="3544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nakon obavljenog razgovora</w:t>
            </w:r>
          </w:p>
        </w:tc>
      </w:tr>
      <w:tr w:rsidR="000C0EAB" w:rsidTr="000C0EAB">
        <w:tc>
          <w:tcPr>
            <w:tcW w:w="3261" w:type="dxa"/>
          </w:tcPr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razrednik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stručna služba</w:t>
            </w:r>
          </w:p>
          <w:p w:rsidR="000C0EAB" w:rsidRPr="00210CA8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ravnateljica</w:t>
            </w:r>
          </w:p>
        </w:tc>
        <w:tc>
          <w:tcPr>
            <w:tcW w:w="4110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Telefonski poziv roditeljima na razgovor </w:t>
            </w:r>
          </w:p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(po potrebi i pisanim putem, ako se ne odazovu)</w:t>
            </w:r>
          </w:p>
        </w:tc>
        <w:tc>
          <w:tcPr>
            <w:tcW w:w="3544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 okviru prvog telefonskog razgovora </w:t>
            </w:r>
          </w:p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(nakon ponovljenih poziva na koje se ne odazivaju – pisani poziv)</w:t>
            </w:r>
          </w:p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C0EAB" w:rsidTr="000C0EAB">
        <w:tc>
          <w:tcPr>
            <w:tcW w:w="3261" w:type="dxa"/>
          </w:tcPr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razrednik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stručna služba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ravnateljica</w:t>
            </w:r>
          </w:p>
        </w:tc>
        <w:tc>
          <w:tcPr>
            <w:tcW w:w="4110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Razgovor u prostoru škole o događaju, savjetovanje s ciljem promjene neprimjerenog ponašanja u nazočnosti stručnog djelatnika</w:t>
            </w:r>
          </w:p>
        </w:tc>
        <w:tc>
          <w:tcPr>
            <w:tcW w:w="3544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Isti dan kada se dogodio sukob ili eventualno sljedeći dan</w:t>
            </w:r>
          </w:p>
        </w:tc>
      </w:tr>
      <w:tr w:rsidR="000C0EAB" w:rsidTr="000C0EAB">
        <w:tc>
          <w:tcPr>
            <w:tcW w:w="3261" w:type="dxa"/>
          </w:tcPr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razrednik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stručna služba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ravnateljica</w:t>
            </w:r>
          </w:p>
        </w:tc>
        <w:tc>
          <w:tcPr>
            <w:tcW w:w="4110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Upućivanje obavijesti policijskoj upravi o spriječenom sukobu</w:t>
            </w:r>
          </w:p>
        </w:tc>
        <w:tc>
          <w:tcPr>
            <w:tcW w:w="3544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Isti dan kada se dogodio sukob</w:t>
            </w:r>
          </w:p>
        </w:tc>
      </w:tr>
      <w:tr w:rsidR="000C0EAB" w:rsidTr="000C0EAB">
        <w:tc>
          <w:tcPr>
            <w:tcW w:w="3261" w:type="dxa"/>
          </w:tcPr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razrednik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stručna služba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ravnateljica</w:t>
            </w:r>
          </w:p>
        </w:tc>
        <w:tc>
          <w:tcPr>
            <w:tcW w:w="4110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Vođenje službenih bilješki o poduzetim aktivnostima, razgovorima i izjavama</w:t>
            </w:r>
          </w:p>
        </w:tc>
        <w:tc>
          <w:tcPr>
            <w:tcW w:w="3544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Pravovremeno nakon obavljenih koraka u postupku (knjiga dežurstva, razredni dnevnik, dopis PU, interni obrasci o obavljenim razgovorima, dosje učenika)</w:t>
            </w:r>
          </w:p>
        </w:tc>
      </w:tr>
      <w:tr w:rsidR="000C0EAB" w:rsidTr="000C0EAB">
        <w:tc>
          <w:tcPr>
            <w:tcW w:w="3261" w:type="dxa"/>
          </w:tcPr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razrednik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stručna služba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ravnateljica</w:t>
            </w:r>
          </w:p>
        </w:tc>
        <w:tc>
          <w:tcPr>
            <w:tcW w:w="4110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Sjednica RV i UV i izricanje pedagoške mjere (prema procjeni situacije i prekršaja)</w:t>
            </w:r>
          </w:p>
        </w:tc>
        <w:tc>
          <w:tcPr>
            <w:tcW w:w="3544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Nakon obavljenih razgovora s roditeljima</w:t>
            </w:r>
          </w:p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(zapisnici RV i UV)</w:t>
            </w:r>
          </w:p>
        </w:tc>
      </w:tr>
      <w:tr w:rsidR="000C0EAB" w:rsidTr="000C0EAB">
        <w:tc>
          <w:tcPr>
            <w:tcW w:w="3261" w:type="dxa"/>
          </w:tcPr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razrednik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stručna služba</w:t>
            </w:r>
          </w:p>
          <w:p w:rsidR="000C0EAB" w:rsidRDefault="000C0EAB" w:rsidP="000C0EAB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ravnateljica</w:t>
            </w:r>
          </w:p>
        </w:tc>
        <w:tc>
          <w:tcPr>
            <w:tcW w:w="4110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Izrada i slanje rješenja o izrečenoj pedagoškoj mjeri</w:t>
            </w:r>
          </w:p>
        </w:tc>
        <w:tc>
          <w:tcPr>
            <w:tcW w:w="3544" w:type="dxa"/>
          </w:tcPr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Nakon sjednice RV i UV </w:t>
            </w:r>
          </w:p>
          <w:p w:rsidR="000C0EAB" w:rsidRDefault="000C0EAB" w:rsidP="000C0E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(obrasci rješenja, potvrdnice – dosje učenika)</w:t>
            </w:r>
          </w:p>
        </w:tc>
      </w:tr>
    </w:tbl>
    <w:p w:rsidR="000C0EAB" w:rsidRDefault="000C0EAB" w:rsidP="000C0EAB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0C0EAB" w:rsidRDefault="000C0EAB" w:rsidP="000C0EA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 Umagu, 11. veljače, 2019.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0C0EAB" w:rsidRDefault="000C0EAB" w:rsidP="000C0EAB">
      <w:pPr>
        <w:spacing w:after="0"/>
        <w:ind w:left="6372" w:firstLine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Ravnateljica</w:t>
      </w:r>
    </w:p>
    <w:p w:rsidR="000C0EAB" w:rsidRDefault="000C0EAB" w:rsidP="000C0EAB">
      <w:pPr>
        <w:spacing w:after="0"/>
        <w:ind w:left="6372" w:firstLine="708"/>
        <w:jc w:val="center"/>
        <w:rPr>
          <w:rFonts w:asciiTheme="majorHAnsi" w:hAnsiTheme="majorHAnsi" w:cstheme="majorHAnsi"/>
          <w:sz w:val="24"/>
          <w:szCs w:val="24"/>
        </w:rPr>
      </w:pPr>
    </w:p>
    <w:p w:rsidR="000C0EAB" w:rsidRDefault="000C0EAB" w:rsidP="000C0EAB">
      <w:pPr>
        <w:ind w:left="7080" w:firstLine="433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</w:t>
      </w:r>
    </w:p>
    <w:p w:rsidR="000C0EAB" w:rsidRPr="000C0EAB" w:rsidRDefault="000C0EAB" w:rsidP="000C0EAB">
      <w:pPr>
        <w:ind w:left="6946" w:firstLine="567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/Sanja </w:t>
      </w:r>
      <w:proofErr w:type="spellStart"/>
      <w:r>
        <w:rPr>
          <w:rFonts w:asciiTheme="majorHAnsi" w:hAnsiTheme="majorHAnsi" w:cstheme="majorHAnsi"/>
          <w:sz w:val="24"/>
          <w:szCs w:val="24"/>
        </w:rPr>
        <w:t>Zakinja</w:t>
      </w:r>
      <w:proofErr w:type="spellEnd"/>
      <w:r>
        <w:rPr>
          <w:rFonts w:asciiTheme="majorHAnsi" w:hAnsiTheme="majorHAnsi" w:cstheme="majorHAnsi"/>
          <w:sz w:val="24"/>
          <w:szCs w:val="24"/>
        </w:rPr>
        <w:t>, prof./</w:t>
      </w:r>
      <w:bookmarkStart w:id="0" w:name="_GoBack"/>
      <w:bookmarkEnd w:id="0"/>
    </w:p>
    <w:sectPr w:rsidR="000C0EAB" w:rsidRPr="000C0EAB" w:rsidSect="000C0EAB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D593B"/>
    <w:multiLevelType w:val="hybridMultilevel"/>
    <w:tmpl w:val="29925296"/>
    <w:lvl w:ilvl="0" w:tplc="1D1634F6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B"/>
    <w:rsid w:val="000C0EAB"/>
    <w:rsid w:val="00311366"/>
    <w:rsid w:val="005774E5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EE51"/>
  <w15:chartTrackingRefBased/>
  <w15:docId w15:val="{7906E225-0EFB-48A8-B131-A634BAB9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0E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2019-02-15T10:03:00Z</cp:lastPrinted>
  <dcterms:created xsi:type="dcterms:W3CDTF">2019-02-15T09:53:00Z</dcterms:created>
  <dcterms:modified xsi:type="dcterms:W3CDTF">2019-02-15T12:01:00Z</dcterms:modified>
</cp:coreProperties>
</file>